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F7" w:rsidRPr="00AE3AB2" w:rsidRDefault="00774BF7" w:rsidP="00774BF7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农业动物遗传育种与繁殖教育部重点实验室公共平台</w:t>
      </w:r>
      <w:r w:rsidR="00EA08EA">
        <w:rPr>
          <w:rFonts w:hint="eastAsia"/>
          <w:b/>
          <w:sz w:val="32"/>
          <w:szCs w:val="32"/>
        </w:rPr>
        <w:t>设备使用</w:t>
      </w:r>
      <w:r w:rsidRPr="00AE3AB2">
        <w:rPr>
          <w:rFonts w:hint="eastAsia"/>
          <w:b/>
          <w:sz w:val="32"/>
          <w:szCs w:val="32"/>
        </w:rPr>
        <w:t>申请表</w:t>
      </w:r>
      <w:bookmarkStart w:id="0" w:name="_GoBack"/>
      <w:bookmarkEnd w:id="0"/>
    </w:p>
    <w:p w:rsidR="00160FDB" w:rsidRPr="00160FDB" w:rsidRDefault="00160FDB" w:rsidP="00160FDB">
      <w:pPr>
        <w:jc w:val="left"/>
        <w:rPr>
          <w:b/>
          <w:sz w:val="28"/>
          <w:szCs w:val="28"/>
        </w:rPr>
      </w:pPr>
      <w:r w:rsidRPr="00160FDB">
        <w:rPr>
          <w:rFonts w:hint="eastAsia"/>
          <w:b/>
          <w:sz w:val="28"/>
          <w:szCs w:val="28"/>
        </w:rPr>
        <w:t>课题组名称：</w:t>
      </w:r>
      <w:r w:rsidRPr="00160FDB">
        <w:rPr>
          <w:rFonts w:hint="eastAsia"/>
          <w:b/>
          <w:sz w:val="28"/>
          <w:szCs w:val="28"/>
          <w:u w:val="single"/>
        </w:rPr>
        <w:t xml:space="preserve">                 </w:t>
      </w:r>
    </w:p>
    <w:tbl>
      <w:tblPr>
        <w:tblStyle w:val="a5"/>
        <w:tblW w:w="9920" w:type="dxa"/>
        <w:tblInd w:w="-459" w:type="dxa"/>
        <w:tblLook w:val="04A0" w:firstRow="1" w:lastRow="0" w:firstColumn="1" w:lastColumn="0" w:noHBand="0" w:noVBand="1"/>
      </w:tblPr>
      <w:tblGrid>
        <w:gridCol w:w="745"/>
        <w:gridCol w:w="1269"/>
        <w:gridCol w:w="963"/>
        <w:gridCol w:w="1134"/>
        <w:gridCol w:w="1418"/>
        <w:gridCol w:w="3116"/>
        <w:gridCol w:w="1275"/>
      </w:tblGrid>
      <w:tr w:rsidR="00F77805" w:rsidTr="00F77805">
        <w:trPr>
          <w:trHeight w:val="469"/>
        </w:trPr>
        <w:tc>
          <w:tcPr>
            <w:tcW w:w="74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63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研究生类型</w:t>
            </w:r>
          </w:p>
        </w:tc>
        <w:tc>
          <w:tcPr>
            <w:tcW w:w="1134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1418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116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授权时段</w:t>
            </w:r>
          </w:p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（</w:t>
            </w:r>
            <w:r w:rsidRPr="00160FDB">
              <w:rPr>
                <w:rFonts w:hint="eastAsia"/>
                <w:b/>
                <w:szCs w:val="21"/>
              </w:rPr>
              <w:t>**</w:t>
            </w:r>
            <w:r w:rsidRPr="00160FDB">
              <w:rPr>
                <w:rFonts w:hint="eastAsia"/>
                <w:b/>
                <w:szCs w:val="21"/>
              </w:rPr>
              <w:t>年</w:t>
            </w:r>
            <w:r w:rsidRPr="00160FDB">
              <w:rPr>
                <w:rFonts w:hint="eastAsia"/>
                <w:b/>
                <w:szCs w:val="21"/>
              </w:rPr>
              <w:t>**</w:t>
            </w:r>
            <w:r w:rsidRPr="00160FDB">
              <w:rPr>
                <w:rFonts w:hint="eastAsia"/>
                <w:b/>
                <w:szCs w:val="21"/>
              </w:rPr>
              <w:t>月——</w:t>
            </w:r>
            <w:r w:rsidRPr="00160FDB">
              <w:rPr>
                <w:rFonts w:hint="eastAsia"/>
                <w:b/>
                <w:szCs w:val="21"/>
              </w:rPr>
              <w:t>**</w:t>
            </w:r>
            <w:r w:rsidRPr="00160FDB">
              <w:rPr>
                <w:rFonts w:hint="eastAsia"/>
                <w:b/>
                <w:szCs w:val="21"/>
              </w:rPr>
              <w:t>年</w:t>
            </w:r>
            <w:r w:rsidRPr="00160FDB">
              <w:rPr>
                <w:rFonts w:hint="eastAsia"/>
                <w:b/>
                <w:szCs w:val="21"/>
              </w:rPr>
              <w:t>**</w:t>
            </w:r>
            <w:r w:rsidRPr="00160FDB">
              <w:rPr>
                <w:rFonts w:hint="eastAsia"/>
                <w:b/>
                <w:szCs w:val="21"/>
              </w:rPr>
              <w:t>月）</w:t>
            </w:r>
          </w:p>
        </w:tc>
        <w:tc>
          <w:tcPr>
            <w:tcW w:w="127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F77805" w:rsidTr="00F77805">
        <w:trPr>
          <w:trHeight w:val="469"/>
        </w:trPr>
        <w:tc>
          <w:tcPr>
            <w:tcW w:w="74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</w:tr>
      <w:tr w:rsidR="00F77805" w:rsidTr="00F77805">
        <w:trPr>
          <w:trHeight w:val="469"/>
        </w:trPr>
        <w:tc>
          <w:tcPr>
            <w:tcW w:w="74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</w:tr>
      <w:tr w:rsidR="00F77805" w:rsidTr="00F77805">
        <w:trPr>
          <w:trHeight w:val="469"/>
        </w:trPr>
        <w:tc>
          <w:tcPr>
            <w:tcW w:w="74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</w:tr>
      <w:tr w:rsidR="00F77805" w:rsidTr="00F77805">
        <w:trPr>
          <w:trHeight w:val="469"/>
        </w:trPr>
        <w:tc>
          <w:tcPr>
            <w:tcW w:w="745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3116" w:type="dxa"/>
            <w:vAlign w:val="center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</w:tcPr>
          <w:p w:rsidR="00F77805" w:rsidRPr="00160FDB" w:rsidRDefault="00F77805" w:rsidP="00160FDB">
            <w:pPr>
              <w:jc w:val="center"/>
              <w:rPr>
                <w:b/>
                <w:szCs w:val="21"/>
              </w:rPr>
            </w:pPr>
          </w:p>
        </w:tc>
      </w:tr>
    </w:tbl>
    <w:p w:rsidR="00160FDB" w:rsidRDefault="00160FDB" w:rsidP="00160FDB">
      <w:pPr>
        <w:spacing w:line="720" w:lineRule="auto"/>
        <w:rPr>
          <w:rFonts w:hint="eastAsia"/>
          <w:b/>
          <w:sz w:val="28"/>
          <w:szCs w:val="28"/>
          <w:u w:val="single"/>
        </w:rPr>
      </w:pPr>
      <w:r w:rsidRPr="00160FDB">
        <w:rPr>
          <w:rFonts w:hint="eastAsia"/>
          <w:b/>
          <w:sz w:val="28"/>
          <w:szCs w:val="28"/>
        </w:rPr>
        <w:t>导师签字：</w:t>
      </w:r>
      <w:r w:rsidRPr="00160FDB">
        <w:rPr>
          <w:rFonts w:hint="eastAsia"/>
          <w:b/>
          <w:sz w:val="28"/>
          <w:szCs w:val="28"/>
          <w:u w:val="single"/>
        </w:rPr>
        <w:t xml:space="preserve">                 </w:t>
      </w:r>
    </w:p>
    <w:p w:rsidR="00B174CA" w:rsidRDefault="00B174CA" w:rsidP="00B174C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公共平台实验室日常行为规范</w:t>
      </w:r>
    </w:p>
    <w:p w:rsidR="00B174CA" w:rsidRDefault="00B174CA" w:rsidP="00B174CA">
      <w:pPr>
        <w:pStyle w:val="a6"/>
        <w:numPr>
          <w:ilvl w:val="0"/>
          <w:numId w:val="3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严禁带手套触碰实验室开关门及仪器设备按钮。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进出公共平台实验室必须换鞋。实验室内外均设立了鞋柜，进出实验室请将鞋子摆放整齐。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任何使用者必须在掌握仪器设备的性能与操作程序后方可上机操作。不熟悉仪器设备者应及时向平台管理员咨询，掌握仪器设备的使用性能，经许可后，方可上机操作。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仪器设备严格执行使用登记制度，采取先登记、后使用的原则，填写《华中农业大学大型精密贵重仪器设备运行日志》。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严格按照仪器设备操作规程操作仪器设备，不得暴力使用。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仪器设备出现使用故障时，应及时与平台设备管理员联系，及时报修。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做完实验后及时收拾台面，用过的仪器设备及时归位，实验</w:t>
      </w:r>
      <w:proofErr w:type="gramStart"/>
      <w:r>
        <w:rPr>
          <w:rFonts w:hint="eastAsia"/>
          <w:sz w:val="24"/>
          <w:szCs w:val="24"/>
        </w:rPr>
        <w:t>椅</w:t>
      </w:r>
      <w:proofErr w:type="gramEnd"/>
      <w:r>
        <w:rPr>
          <w:rFonts w:hint="eastAsia"/>
          <w:sz w:val="24"/>
          <w:szCs w:val="24"/>
        </w:rPr>
        <w:t>推入实验台下，摆放整齐，垃圾入筒。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严禁私自带非本实验室人员进出公共平台实验室。</w:t>
      </w:r>
    </w:p>
    <w:p w:rsidR="00B174CA" w:rsidRDefault="00B174CA" w:rsidP="00B174CA">
      <w:pPr>
        <w:pStyle w:val="a6"/>
        <w:numPr>
          <w:ilvl w:val="0"/>
          <w:numId w:val="4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请使用者自觉遵守相关规定。连续两次发现不遵守规定者，停止使用仪器平台一个月。</w:t>
      </w:r>
    </w:p>
    <w:p w:rsidR="00B174CA" w:rsidRDefault="00B174CA" w:rsidP="00B174CA">
      <w:pPr>
        <w:spacing w:line="360" w:lineRule="auto"/>
        <w:ind w:left="360"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申请者签名：　　</w:t>
      </w:r>
    </w:p>
    <w:p w:rsidR="00B174CA" w:rsidRDefault="00B174CA" w:rsidP="00B174CA">
      <w:pPr>
        <w:spacing w:line="360" w:lineRule="auto"/>
        <w:ind w:lef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 w:rsidR="00B174CA" w:rsidRPr="00B174CA" w:rsidRDefault="00B174CA" w:rsidP="00160FDB">
      <w:pPr>
        <w:spacing w:line="720" w:lineRule="auto"/>
        <w:rPr>
          <w:b/>
          <w:sz w:val="28"/>
          <w:szCs w:val="28"/>
          <w:u w:val="single"/>
        </w:rPr>
      </w:pPr>
    </w:p>
    <w:p w:rsidR="00160FDB" w:rsidRPr="00160FDB" w:rsidRDefault="00160FDB" w:rsidP="00160FDB">
      <w:pPr>
        <w:spacing w:line="720" w:lineRule="auto"/>
        <w:rPr>
          <w:b/>
          <w:sz w:val="28"/>
          <w:szCs w:val="28"/>
        </w:rPr>
      </w:pPr>
    </w:p>
    <w:p w:rsidR="00160FDB" w:rsidRDefault="00160FDB" w:rsidP="00160FDB">
      <w:pPr>
        <w:spacing w:line="720" w:lineRule="auto"/>
        <w:rPr>
          <w:b/>
          <w:sz w:val="32"/>
          <w:szCs w:val="32"/>
        </w:rPr>
      </w:pPr>
    </w:p>
    <w:p w:rsidR="00160FDB" w:rsidRDefault="00160FDB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04AA1" w:rsidRPr="00E174AD" w:rsidRDefault="00504AA1" w:rsidP="00504AA1">
      <w:pPr>
        <w:spacing w:line="720" w:lineRule="auto"/>
        <w:jc w:val="center"/>
        <w:rPr>
          <w:b/>
          <w:sz w:val="32"/>
          <w:szCs w:val="32"/>
        </w:rPr>
      </w:pPr>
      <w:r w:rsidRPr="00E174AD">
        <w:rPr>
          <w:rFonts w:hint="eastAsia"/>
          <w:b/>
          <w:sz w:val="32"/>
          <w:szCs w:val="32"/>
        </w:rPr>
        <w:lastRenderedPageBreak/>
        <w:t>公共平台实验室</w:t>
      </w:r>
      <w:r>
        <w:rPr>
          <w:rFonts w:hint="eastAsia"/>
          <w:b/>
          <w:sz w:val="32"/>
          <w:szCs w:val="32"/>
        </w:rPr>
        <w:t>日常</w:t>
      </w:r>
      <w:r w:rsidRPr="00E174AD">
        <w:rPr>
          <w:rFonts w:hint="eastAsia"/>
          <w:b/>
          <w:sz w:val="32"/>
          <w:szCs w:val="32"/>
        </w:rPr>
        <w:t>行为规范</w:t>
      </w:r>
    </w:p>
    <w:p w:rsidR="00504AA1" w:rsidRPr="00E174AD" w:rsidRDefault="00504AA1" w:rsidP="00504AA1">
      <w:pPr>
        <w:pStyle w:val="a6"/>
        <w:numPr>
          <w:ilvl w:val="0"/>
          <w:numId w:val="1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严禁带手套触碰实验室开关门及仪器设备按钮。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进出</w:t>
      </w:r>
      <w:r>
        <w:rPr>
          <w:rFonts w:hint="eastAsia"/>
          <w:sz w:val="24"/>
          <w:szCs w:val="24"/>
        </w:rPr>
        <w:t>公共平台</w:t>
      </w:r>
      <w:r w:rsidRPr="00E174AD">
        <w:rPr>
          <w:rFonts w:hint="eastAsia"/>
          <w:sz w:val="24"/>
          <w:szCs w:val="24"/>
        </w:rPr>
        <w:t>实验室必须换鞋。实验室内外均设立了鞋柜，进出实验室请将鞋子摆放整齐。</w:t>
      </w:r>
    </w:p>
    <w:p w:rsidR="00AE3AB2" w:rsidRPr="00E174AD" w:rsidRDefault="00AE3AB2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AE3AB2">
        <w:rPr>
          <w:rFonts w:hint="eastAsia"/>
          <w:sz w:val="24"/>
          <w:szCs w:val="24"/>
        </w:rPr>
        <w:t>任何使用者必须在掌握仪器设备的性能与操作程序后方可上机操作。不熟悉仪器设备者应及时向平台管理员咨询，掌握仪器设备的使用性能，经许可后，方可上机操作。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504AA1">
        <w:rPr>
          <w:rFonts w:hint="eastAsia"/>
          <w:sz w:val="24"/>
          <w:szCs w:val="24"/>
        </w:rPr>
        <w:t>仪器设备严格执行使用登记制度，采取先登记、后使用的原则，填写《华中农业大学大型精密贵重仪器设备运行日志》。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严格按照仪器设备操作规程操作仪器设备，不得暴力使用。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仪器设备出现使用故障时，应及时与平台设备管理员联系，及时报修。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做完实验后及时收拾台面，用过的仪器设备及时归位，实验</w:t>
      </w:r>
      <w:proofErr w:type="gramStart"/>
      <w:r w:rsidRPr="00E174AD">
        <w:rPr>
          <w:rFonts w:hint="eastAsia"/>
          <w:sz w:val="24"/>
          <w:szCs w:val="24"/>
        </w:rPr>
        <w:t>椅</w:t>
      </w:r>
      <w:proofErr w:type="gramEnd"/>
      <w:r w:rsidRPr="00E174AD">
        <w:rPr>
          <w:rFonts w:hint="eastAsia"/>
          <w:sz w:val="24"/>
          <w:szCs w:val="24"/>
        </w:rPr>
        <w:t>推入实验台下，摆放整齐，垃圾入筒。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严禁私自带非本实验室人员进出公共平台实验室。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C52B06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使用者</w:t>
      </w:r>
      <w:r w:rsidRPr="00C52B06">
        <w:rPr>
          <w:rFonts w:hint="eastAsia"/>
          <w:sz w:val="24"/>
          <w:szCs w:val="24"/>
        </w:rPr>
        <w:t>自觉遵守相关规定。</w:t>
      </w:r>
      <w:r>
        <w:rPr>
          <w:rFonts w:hint="eastAsia"/>
          <w:sz w:val="24"/>
          <w:szCs w:val="24"/>
        </w:rPr>
        <w:t>连续三次发现不遵守规定者，停止使用仪器平台一个月。</w:t>
      </w:r>
    </w:p>
    <w:p w:rsidR="00504AA1" w:rsidRPr="00160FDB" w:rsidRDefault="00504AA1" w:rsidP="00160FDB">
      <w:pPr>
        <w:spacing w:line="360" w:lineRule="auto"/>
        <w:ind w:left="357" w:right="482" w:firstLineChars="200" w:firstLine="482"/>
        <w:jc w:val="left"/>
        <w:rPr>
          <w:b/>
          <w:sz w:val="24"/>
          <w:szCs w:val="24"/>
        </w:rPr>
      </w:pPr>
      <w:r w:rsidRPr="00160FDB">
        <w:rPr>
          <w:rFonts w:hint="eastAsia"/>
          <w:b/>
          <w:sz w:val="24"/>
          <w:szCs w:val="24"/>
        </w:rPr>
        <w:t xml:space="preserve">申请者签名：　　</w:t>
      </w: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504AA1" w:rsidRDefault="00504AA1" w:rsidP="00504AA1">
      <w:pPr>
        <w:spacing w:line="360" w:lineRule="auto"/>
        <w:ind w:lef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</w:p>
    <w:sectPr w:rsidR="0050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DD" w:rsidRDefault="007D60DD" w:rsidP="006C5FAC">
      <w:r>
        <w:separator/>
      </w:r>
    </w:p>
  </w:endnote>
  <w:endnote w:type="continuationSeparator" w:id="0">
    <w:p w:rsidR="007D60DD" w:rsidRDefault="007D60DD" w:rsidP="006C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DD" w:rsidRDefault="007D60DD" w:rsidP="006C5FAC">
      <w:r>
        <w:separator/>
      </w:r>
    </w:p>
  </w:footnote>
  <w:footnote w:type="continuationSeparator" w:id="0">
    <w:p w:rsidR="007D60DD" w:rsidRDefault="007D60DD" w:rsidP="006C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82"/>
    <w:multiLevelType w:val="hybridMultilevel"/>
    <w:tmpl w:val="A33A9548"/>
    <w:lvl w:ilvl="0" w:tplc="33B03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2C6136"/>
    <w:multiLevelType w:val="hybridMultilevel"/>
    <w:tmpl w:val="55448A4E"/>
    <w:lvl w:ilvl="0" w:tplc="C1F2D1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2"/>
    <w:rsid w:val="00057468"/>
    <w:rsid w:val="000664B8"/>
    <w:rsid w:val="000F1182"/>
    <w:rsid w:val="00160FDB"/>
    <w:rsid w:val="001A1F09"/>
    <w:rsid w:val="002E5FC9"/>
    <w:rsid w:val="003B3810"/>
    <w:rsid w:val="00504AA1"/>
    <w:rsid w:val="006C5FAC"/>
    <w:rsid w:val="00717323"/>
    <w:rsid w:val="00774BF7"/>
    <w:rsid w:val="007D60DD"/>
    <w:rsid w:val="009E11A0"/>
    <w:rsid w:val="009F66E7"/>
    <w:rsid w:val="00A47E33"/>
    <w:rsid w:val="00AA0965"/>
    <w:rsid w:val="00AC2972"/>
    <w:rsid w:val="00AE3AB2"/>
    <w:rsid w:val="00AF116B"/>
    <w:rsid w:val="00B174CA"/>
    <w:rsid w:val="00C379C8"/>
    <w:rsid w:val="00D928FD"/>
    <w:rsid w:val="00EA08EA"/>
    <w:rsid w:val="00F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AC"/>
    <w:rPr>
      <w:sz w:val="18"/>
      <w:szCs w:val="18"/>
    </w:rPr>
  </w:style>
  <w:style w:type="table" w:styleId="a5">
    <w:name w:val="Table Grid"/>
    <w:basedOn w:val="a1"/>
    <w:uiPriority w:val="59"/>
    <w:rsid w:val="006C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4A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AC"/>
    <w:rPr>
      <w:sz w:val="18"/>
      <w:szCs w:val="18"/>
    </w:rPr>
  </w:style>
  <w:style w:type="table" w:styleId="a5">
    <w:name w:val="Table Grid"/>
    <w:basedOn w:val="a1"/>
    <w:uiPriority w:val="59"/>
    <w:rsid w:val="006C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809</Characters>
  <Application>Microsoft Office Word</Application>
  <DocSecurity>0</DocSecurity>
  <Lines>6</Lines>
  <Paragraphs>1</Paragraphs>
  <ScaleCrop>false</ScaleCrop>
  <Company>Sky123.Org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2016-09-07T09:18:00Z</dcterms:created>
  <dc:creator>Sky123.Org</dc:creator>
  <lastModifiedBy>lww</lastModifiedBy>
  <dcterms:modified xsi:type="dcterms:W3CDTF">2019-03-21T08:15:00Z</dcterms:modified>
  <revision>6</revision>
</coreProperties>
</file>